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B9C" w:rsidRPr="00A91249" w:rsidRDefault="00A91249">
      <w:pPr>
        <w:rPr>
          <w:b/>
        </w:rPr>
      </w:pPr>
      <w:r w:rsidRPr="00A91249">
        <w:rPr>
          <w:b/>
        </w:rPr>
        <w:t>DENGUE: ORGANIZACIÓN PANAMERICANA DE LA SALUD. Generalidades y Diagnostico de laboratorio</w:t>
      </w:r>
    </w:p>
    <w:p w:rsidR="00A91249" w:rsidRDefault="00A91249" w:rsidP="00A91249">
      <w:pPr>
        <w:spacing w:after="0" w:line="240" w:lineRule="auto"/>
      </w:pPr>
      <w:r w:rsidRPr="00A91249">
        <w:t xml:space="preserve">El dengue se transmite a través de la picadura de un mosquito infectado. Es una enfermedad que afecta personas de todas las edades, con síntomas que varían entre una fiebre leve a una fiebre incapacitante, acompañado de dolor intenso de cabeza, dolor detrás de los ojos, dolor en músculos y articulaciones, y eritema. La enfermedad puede progresar a formas graves, caracterizada principalmente por choque, dificultad respiratoria y/o daño grave de órganos. El dengue tiene un comportamiento estacionario, es decir, en el hemisferio Sur la mayoría de los casos ocurren durante la primera mitad del año, en cambio, en el hemisferio Norte, los casos ocurren mayormente en la segunda mitad. Este patrón de comportamiento corresponde a los meses más cálidos y lluviosos. En las Américas, el vector principal responsable de la trasmisión del dengue es el mosquito </w:t>
      </w:r>
      <w:r w:rsidRPr="00A91249">
        <w:rPr>
          <w:i/>
        </w:rPr>
        <w:t xml:space="preserve">Aedes </w:t>
      </w:r>
      <w:proofErr w:type="spellStart"/>
      <w:r w:rsidRPr="00A91249">
        <w:rPr>
          <w:i/>
        </w:rPr>
        <w:t>aegypti</w:t>
      </w:r>
      <w:proofErr w:type="spellEnd"/>
      <w:r w:rsidRPr="00A91249">
        <w:t>.</w:t>
      </w:r>
    </w:p>
    <w:p w:rsidR="00A91249" w:rsidRPr="004C099A" w:rsidRDefault="00A91249" w:rsidP="00A91249">
      <w:pPr>
        <w:spacing w:after="0" w:line="240" w:lineRule="auto"/>
        <w:rPr>
          <w:b/>
        </w:rPr>
      </w:pPr>
      <w:r w:rsidRPr="004C099A">
        <w:rPr>
          <w:b/>
        </w:rPr>
        <w:t>Datos clave</w:t>
      </w:r>
    </w:p>
    <w:p w:rsidR="00A91249" w:rsidRDefault="00A91249" w:rsidP="00A91249">
      <w:pPr>
        <w:spacing w:after="0" w:line="240" w:lineRule="auto"/>
      </w:pPr>
      <w:r>
        <w:t>Cerca de 500 millones de personas en las Américas están actualmente en riesgo de contraer dengue.</w:t>
      </w:r>
    </w:p>
    <w:p w:rsidR="00A91249" w:rsidRDefault="00A91249" w:rsidP="00A91249">
      <w:pPr>
        <w:spacing w:after="0" w:line="240" w:lineRule="auto"/>
      </w:pPr>
      <w:r>
        <w:t>El número de caso de dengue en las Américas se ha incrementado en las últimas cuatro décadas, en tanto pasó de 1.5 millones de casos acumulados en la década del 80, a 16.2 millones en la década del 2010-2019</w:t>
      </w:r>
    </w:p>
    <w:p w:rsidR="00A91249" w:rsidRDefault="00A91249" w:rsidP="00A91249">
      <w:pPr>
        <w:spacing w:after="0" w:line="240" w:lineRule="auto"/>
      </w:pPr>
      <w:r>
        <w:t>En 2013, un año epidémico para la región, se registraron por primera vez más de 2 millones de casos, y una incidencia de 430.8 cada 100 mil habitantes. Se registraron también 37.692 casos de dengue grave y 1.280 muertes en el continente. En 2019 se registraron un poco más de 3.1 millones de casos, 28 mil graves y, 1.534 muertes</w:t>
      </w:r>
    </w:p>
    <w:p w:rsidR="00A91249" w:rsidRDefault="00A91249" w:rsidP="00A91249">
      <w:pPr>
        <w:spacing w:after="0" w:line="240" w:lineRule="auto"/>
      </w:pPr>
      <w:r>
        <w:t>Los cuatro serotipos de dengue (DENV-1, DENV-2, DENV-3 y DEN-V 4) circulan a lo largo de las Américas y en algunos casos circulan simultáneamente.</w:t>
      </w:r>
    </w:p>
    <w:p w:rsidR="00A91249" w:rsidRDefault="00A91249" w:rsidP="00A91249">
      <w:pPr>
        <w:spacing w:after="0" w:line="240" w:lineRule="auto"/>
      </w:pPr>
      <w:r>
        <w:t>La infección por un serotipo, seguida por otra infección con un serotipo diferente aumenta el riesgo de una persona de padecer dengue grave y hasta morir.</w:t>
      </w:r>
    </w:p>
    <w:p w:rsidR="00A91249" w:rsidRDefault="00A91249" w:rsidP="00A91249">
      <w:pPr>
        <w:spacing w:after="0" w:line="240" w:lineRule="auto"/>
      </w:pPr>
      <w:r>
        <w:t xml:space="preserve">En las Américas, el </w:t>
      </w:r>
      <w:r w:rsidRPr="00A91249">
        <w:rPr>
          <w:i/>
        </w:rPr>
        <w:t xml:space="preserve">Aedes </w:t>
      </w:r>
      <w:proofErr w:type="spellStart"/>
      <w:r w:rsidRPr="00A91249">
        <w:rPr>
          <w:i/>
        </w:rPr>
        <w:t>aegypti</w:t>
      </w:r>
      <w:proofErr w:type="spellEnd"/>
      <w:r>
        <w:t xml:space="preserve"> es el mosquito vector para el dengue, y está ampliamente distribuido en todo el territorio, sólo Canadá y Chile continental están libres de dengue y del vector. </w:t>
      </w:r>
    </w:p>
    <w:p w:rsidR="00A91249" w:rsidRDefault="00A91249" w:rsidP="00A91249">
      <w:pPr>
        <w:spacing w:after="0" w:line="240" w:lineRule="auto"/>
      </w:pPr>
      <w:r w:rsidRPr="00A91249">
        <w:t xml:space="preserve">El </w:t>
      </w:r>
      <w:r w:rsidRPr="00A91249">
        <w:rPr>
          <w:i/>
        </w:rPr>
        <w:t xml:space="preserve">Aedes </w:t>
      </w:r>
      <w:proofErr w:type="spellStart"/>
      <w:r w:rsidRPr="00A91249">
        <w:rPr>
          <w:i/>
        </w:rPr>
        <w:t>aegypti</w:t>
      </w:r>
      <w:proofErr w:type="spellEnd"/>
      <w:r w:rsidRPr="00A91249">
        <w:t xml:space="preserve"> es el vector que presenta el mayor riesgo de transmisión de </w:t>
      </w:r>
      <w:proofErr w:type="spellStart"/>
      <w:r w:rsidRPr="00A91249">
        <w:t>arbovirus</w:t>
      </w:r>
      <w:proofErr w:type="spellEnd"/>
      <w:r w:rsidRPr="00A91249">
        <w:t xml:space="preserve"> en las Américas y está presente en casi todos los países del hemisferio (excepto Canadá y Chile continental). Es un mosquito doméstico (que vive en y cerca de las casas) que se reproduce en cualquier recipiente artificial o natural que contenga agua.</w:t>
      </w:r>
    </w:p>
    <w:p w:rsidR="00A91249" w:rsidRDefault="00A91249" w:rsidP="00A91249">
      <w:pPr>
        <w:spacing w:after="0" w:line="240" w:lineRule="auto"/>
      </w:pPr>
      <w:r w:rsidRPr="00A91249">
        <w:t xml:space="preserve">El mosquito puede completar su ciclo de vida, desde el huevo hasta el adulto, en 7-10 días; los mosquitos adultos generalmente viven de 4 a 6 semanas. La hembra </w:t>
      </w:r>
      <w:r w:rsidRPr="00A91249">
        <w:rPr>
          <w:i/>
        </w:rPr>
        <w:t xml:space="preserve">Aedes </w:t>
      </w:r>
      <w:proofErr w:type="spellStart"/>
      <w:r w:rsidRPr="00A91249">
        <w:rPr>
          <w:i/>
        </w:rPr>
        <w:t>aegypti</w:t>
      </w:r>
      <w:proofErr w:type="spellEnd"/>
      <w:r w:rsidRPr="00A91249">
        <w:t xml:space="preserve"> es responsable de la transmisión de enfermedades porque necesita sangre humana para el desarrollo de sus óvulos y para su metabolismo. El macho no se alimenta de sangre.</w:t>
      </w:r>
    </w:p>
    <w:p w:rsidR="00A91249" w:rsidRPr="00A91249" w:rsidRDefault="00A91249" w:rsidP="00A91249">
      <w:pPr>
        <w:spacing w:after="0" w:line="240" w:lineRule="auto"/>
        <w:rPr>
          <w:b/>
        </w:rPr>
      </w:pPr>
      <w:r w:rsidRPr="00A91249">
        <w:rPr>
          <w:b/>
        </w:rPr>
        <w:t>Diagnóstico de laboratorio</w:t>
      </w:r>
    </w:p>
    <w:p w:rsidR="00A91249" w:rsidRDefault="00A91249" w:rsidP="00A91249">
      <w:pPr>
        <w:spacing w:after="0" w:line="240" w:lineRule="auto"/>
      </w:pPr>
      <w:r>
        <w:t>El diagnóstico definitivo de infección por dengue, se hace en el laboratorio y depende de la detección de anticuerpos específicos en el suero del paciente, de la detección del antígeno viral o el RNA viral en el suero o tejido o el aislamiento viral. Una muestra sanguínea en la fase aguda debe tomarse, tan pronto sea posible luego del inicio de la enfermedad febril. Una muestra sanguínea en la fase de convalecencia, idealmente debe ser tomada de 2-3 semanas después.</w:t>
      </w:r>
    </w:p>
    <w:p w:rsidR="00A91249" w:rsidRDefault="00A91249" w:rsidP="00A91249">
      <w:pPr>
        <w:spacing w:after="0" w:line="240" w:lineRule="auto"/>
      </w:pPr>
      <w:r w:rsidRPr="00A91249">
        <w:rPr>
          <w:b/>
        </w:rPr>
        <w:t>Diagnóstico serológico:</w:t>
      </w:r>
      <w:r>
        <w:t xml:space="preserve"> Puede hacerse por: prueba de </w:t>
      </w:r>
      <w:proofErr w:type="spellStart"/>
      <w:r>
        <w:t>inmunocaptura</w:t>
      </w:r>
      <w:proofErr w:type="spellEnd"/>
      <w:r>
        <w:t xml:space="preserve"> enzimática de la inmunoglobulina M (MAC-ELISA) e inmunoglobulina indirecta G (ELISA). inhibición-hemaglutinación (IH), fijación de complemento (FC), neutralización (NT) y detección de antígeno de proteína no estructural del dengue (NS1 ELISA). </w:t>
      </w:r>
    </w:p>
    <w:p w:rsidR="00A91249" w:rsidRDefault="00A91249" w:rsidP="00A91249">
      <w:pPr>
        <w:spacing w:after="0" w:line="240" w:lineRule="auto"/>
      </w:pPr>
      <w:r w:rsidRPr="003438E4">
        <w:rPr>
          <w:b/>
        </w:rPr>
        <w:t>Aislamiento viral</w:t>
      </w:r>
      <w:r>
        <w:t xml:space="preserve">: Cuatro sistemas de aislamiento viral han sido usados para el virus dengue, inoculación </w:t>
      </w:r>
      <w:proofErr w:type="spellStart"/>
      <w:r>
        <w:t>intracerebral</w:t>
      </w:r>
      <w:proofErr w:type="spellEnd"/>
      <w:r>
        <w:t xml:space="preserve"> en ratones de 1-3 días de edad, cultivos de células de mamíferos </w:t>
      </w:r>
      <w:r>
        <w:lastRenderedPageBreak/>
        <w:t xml:space="preserve">(LLC-MK2), inoculación </w:t>
      </w:r>
      <w:proofErr w:type="spellStart"/>
      <w:r>
        <w:t>intratorácica</w:t>
      </w:r>
      <w:proofErr w:type="spellEnd"/>
      <w:r>
        <w:t xml:space="preserve"> de mosquitos adultos y el uso de cultivos de células de mosquito.</w:t>
      </w:r>
    </w:p>
    <w:p w:rsidR="00A91249" w:rsidRDefault="00A91249" w:rsidP="00A91249">
      <w:pPr>
        <w:spacing w:after="0" w:line="240" w:lineRule="auto"/>
      </w:pPr>
      <w:r w:rsidRPr="004C099A">
        <w:rPr>
          <w:b/>
        </w:rPr>
        <w:t>Identificación Viral</w:t>
      </w:r>
      <w:r>
        <w:t xml:space="preserve">: El método de elección para la notificación del virus del dengue es IFA; anticuerpos monoclonales </w:t>
      </w:r>
      <w:proofErr w:type="spellStart"/>
      <w:r>
        <w:t>seroespecíficos</w:t>
      </w:r>
      <w:proofErr w:type="spellEnd"/>
      <w:r>
        <w:t xml:space="preserve">, producidos en cultivos tisulares o líquido ascítico de ratones e </w:t>
      </w:r>
      <w:proofErr w:type="spellStart"/>
      <w:r>
        <w:t>IgG</w:t>
      </w:r>
      <w:proofErr w:type="spellEnd"/>
      <w:r>
        <w:t xml:space="preserve"> conjugada fluoresceína-</w:t>
      </w:r>
      <w:proofErr w:type="spellStart"/>
      <w:r>
        <w:t>isotiocianato</w:t>
      </w:r>
      <w:proofErr w:type="spellEnd"/>
      <w:r>
        <w:t>.</w:t>
      </w:r>
    </w:p>
    <w:p w:rsidR="00A91249" w:rsidRDefault="00A91249" w:rsidP="00A91249">
      <w:pPr>
        <w:spacing w:after="0" w:line="240" w:lineRule="auto"/>
      </w:pPr>
      <w:r>
        <w:t>RT-PCR (Reacción de cadena de polimerasa-transcriptasa reversa): Es un método rápido, sensible, simple y reproducible con los adecuados controles. Es usado para detectar el RNA viral en muestras clínicas de humanos, tejido de autopsia y mosquitos. Tiene una sensibilidad similar al aislamiento viral con la ventaja de que problemas en el manipuleo, almacenaje y la presencia de anticuerpos no influyen en su resultado. Sin embargo, debe enfatizarse que la PCR no sustituye el aislamiento viral.</w:t>
      </w:r>
    </w:p>
    <w:p w:rsidR="00A91249" w:rsidRDefault="00A91249" w:rsidP="00A91249">
      <w:pPr>
        <w:spacing w:after="0" w:line="240" w:lineRule="auto"/>
      </w:pPr>
      <w:proofErr w:type="spellStart"/>
      <w:r w:rsidRPr="00A91249">
        <w:rPr>
          <w:b/>
        </w:rPr>
        <w:t>Inmun</w:t>
      </w:r>
      <w:r w:rsidR="003438E4">
        <w:rPr>
          <w:b/>
        </w:rPr>
        <w:t>o</w:t>
      </w:r>
      <w:r w:rsidRPr="00A91249">
        <w:rPr>
          <w:b/>
        </w:rPr>
        <w:t>ihistoquímica</w:t>
      </w:r>
      <w:proofErr w:type="spellEnd"/>
      <w:r w:rsidRPr="00A91249">
        <w:rPr>
          <w:b/>
        </w:rPr>
        <w:t>:</w:t>
      </w:r>
      <w:r>
        <w:t xml:space="preserve"> Con los métodos de </w:t>
      </w:r>
      <w:proofErr w:type="spellStart"/>
      <w:r>
        <w:t>inmunohistoquímica</w:t>
      </w:r>
      <w:proofErr w:type="spellEnd"/>
      <w:r>
        <w:t xml:space="preserve">, es posible detectar el antígeno viral en una gran variedad de tejidos. Estos métodos involucran la conjugación enzimática con fosfatasas y </w:t>
      </w:r>
      <w:proofErr w:type="spellStart"/>
      <w:r>
        <w:t>peroxidasas</w:t>
      </w:r>
      <w:proofErr w:type="spellEnd"/>
      <w:r>
        <w:t xml:space="preserve"> en conjunto con anticuerpos mono y </w:t>
      </w:r>
      <w:proofErr w:type="spellStart"/>
      <w:r>
        <w:t>policlonales</w:t>
      </w:r>
      <w:proofErr w:type="spellEnd"/>
      <w:r>
        <w:t>.</w:t>
      </w:r>
    </w:p>
    <w:p w:rsidR="00A91249" w:rsidRDefault="00A91249" w:rsidP="00A91249">
      <w:pPr>
        <w:spacing w:after="0" w:line="240" w:lineRule="auto"/>
      </w:pPr>
      <w:r w:rsidRPr="00A91249">
        <w:rPr>
          <w:b/>
        </w:rPr>
        <w:t>Pruebas rápidas:</w:t>
      </w:r>
      <w:r>
        <w:t xml:space="preserve"> Las características clínicas del dengue son a menudo poco específicas y por lo tanto requieren la confirmación del laboratorio. </w:t>
      </w:r>
    </w:p>
    <w:p w:rsidR="00A91249" w:rsidRDefault="00A91249" w:rsidP="00A91249">
      <w:pPr>
        <w:spacing w:after="0" w:line="240" w:lineRule="auto"/>
      </w:pPr>
      <w:r>
        <w:t xml:space="preserve">Los métodos exactos pero sofisticados como el aislamiento o la reacción en cadena de polimerasa (RT-PCR) del virus requieren equipo y la infraestructura avanzados. Los análisis serológicos están ampliamente disponibles y pueden proporcionar una alternativa para apoyar el diagnóstico. Las infecciones primarias (nuevas) de DENV tienen típicamente una respuesta más fuerte y más específica de </w:t>
      </w:r>
      <w:proofErr w:type="spellStart"/>
      <w:r>
        <w:t>IgM</w:t>
      </w:r>
      <w:proofErr w:type="spellEnd"/>
      <w:r>
        <w:t xml:space="preserve">; las infecciones (secundarias) subsecuentes demuestran una respuesta más débil de </w:t>
      </w:r>
      <w:proofErr w:type="spellStart"/>
      <w:r>
        <w:t>IgM</w:t>
      </w:r>
      <w:proofErr w:type="spellEnd"/>
      <w:r>
        <w:t xml:space="preserve"> pero una respuesta fuerte de </w:t>
      </w:r>
      <w:proofErr w:type="spellStart"/>
      <w:r>
        <w:t>IgG</w:t>
      </w:r>
      <w:proofErr w:type="spellEnd"/>
      <w:r>
        <w:t>.</w:t>
      </w:r>
    </w:p>
    <w:p w:rsidR="00A91249" w:rsidRDefault="00A91249" w:rsidP="00A91249">
      <w:pPr>
        <w:spacing w:after="0" w:line="240" w:lineRule="auto"/>
      </w:pPr>
      <w:r>
        <w:t xml:space="preserve">Estos patrones de diferenciación de la respuesta de </w:t>
      </w:r>
      <w:proofErr w:type="spellStart"/>
      <w:r>
        <w:t>IgM</w:t>
      </w:r>
      <w:proofErr w:type="spellEnd"/>
      <w:r>
        <w:t xml:space="preserve"> a la infección subrayan la necesidad de evaluar la sensibilidad y la especificidad de pruebas disponibles en el comercio, especialmente para el diagnóstico de las infecciones secundarias de DENV. WHO/TDR y la Iniciativa de la Vacuna pediátrica para el dengue (PDVI) colaboraron para evaluar pruebas de diagnóstico </w:t>
      </w:r>
      <w:proofErr w:type="spellStart"/>
      <w:r>
        <w:t>IgM</w:t>
      </w:r>
      <w:proofErr w:type="spellEnd"/>
      <w:r>
        <w:t xml:space="preserve"> anti-DENV disponibles en el comercio. Una red de siete laboratorios en Asia y América Latina fue establecida para realizar el trabajo.</w:t>
      </w:r>
    </w:p>
    <w:p w:rsidR="00A91249" w:rsidRDefault="00A91249" w:rsidP="00A91249">
      <w:pPr>
        <w:spacing w:after="0" w:line="240" w:lineRule="auto"/>
      </w:pPr>
      <w:bookmarkStart w:id="0" w:name="_GoBack"/>
      <w:bookmarkEnd w:id="0"/>
      <w:r>
        <w:t>La NS1 es una prueba rápida de reciente introducción en el mercado que posee una alta especificidad para el diagnóstico del dengue (90 al 100%), pero una baja sensibilidad (52 - 62%), indicando que un resultado negativo de esta prueba no descarta la infección por dengue y haciendo necesario una prueba complementaria para la confirmación del dengue.</w:t>
      </w:r>
    </w:p>
    <w:p w:rsidR="00A91249" w:rsidRPr="00A91249" w:rsidRDefault="00A91249" w:rsidP="00A91249">
      <w:pPr>
        <w:spacing w:after="0" w:line="240" w:lineRule="auto"/>
        <w:rPr>
          <w:b/>
        </w:rPr>
      </w:pPr>
      <w:r w:rsidRPr="00A91249">
        <w:rPr>
          <w:b/>
        </w:rPr>
        <w:t>Pruebas complementarias:</w:t>
      </w:r>
    </w:p>
    <w:p w:rsidR="00A91249" w:rsidRDefault="00A91249" w:rsidP="00A91249">
      <w:pPr>
        <w:spacing w:line="240" w:lineRule="auto"/>
      </w:pPr>
      <w:r>
        <w:t>El hemograma completo con recuento leucocitario y plaquetario.</w:t>
      </w:r>
      <w:r w:rsidR="00392E97">
        <w:t xml:space="preserve"> </w:t>
      </w:r>
      <w:r>
        <w:t>Examen de líquido cefalorraquídeo, siempre y cuando no exista riesgo de sangrado.</w:t>
      </w:r>
      <w:r w:rsidR="00392E97">
        <w:t xml:space="preserve"> </w:t>
      </w:r>
      <w:r>
        <w:t>En casos de shock se deben determinar los gases arteriales, electrolitos, pruebas de función hepática y renal.Exámenes de gabinete como el ultrasonido, la placa de tórax y la tomografía axial computarizada.</w:t>
      </w:r>
    </w:p>
    <w:p w:rsidR="00A91249" w:rsidRDefault="00A91249" w:rsidP="00A91249">
      <w:pPr>
        <w:spacing w:line="240" w:lineRule="auto"/>
      </w:pPr>
    </w:p>
    <w:sectPr w:rsidR="00A912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249"/>
    <w:rsid w:val="003438E4"/>
    <w:rsid w:val="00392E97"/>
    <w:rsid w:val="004C099A"/>
    <w:rsid w:val="00612831"/>
    <w:rsid w:val="008E58C3"/>
    <w:rsid w:val="00A9124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8CAEA2-DB87-43B4-B4E3-7CE57D9F0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1044</Words>
  <Characters>5744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Kaufman</dc:creator>
  <cp:keywords/>
  <dc:description/>
  <cp:lastModifiedBy>Sara Kaufman</cp:lastModifiedBy>
  <cp:revision>3</cp:revision>
  <dcterms:created xsi:type="dcterms:W3CDTF">2023-03-27T15:26:00Z</dcterms:created>
  <dcterms:modified xsi:type="dcterms:W3CDTF">2023-03-27T15:56:00Z</dcterms:modified>
</cp:coreProperties>
</file>